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F0A" w:rsidRDefault="00B238FF">
      <w:pPr>
        <w:rPr>
          <w:rFonts w:ascii="Arial" w:eastAsia="Arial" w:hAnsi="Arial" w:cs="Arial"/>
          <w:b/>
          <w:sz w:val="36"/>
          <w:szCs w:val="36"/>
        </w:rPr>
      </w:pPr>
      <w:r>
        <w:rPr>
          <w:rFonts w:ascii="Arial" w:eastAsia="Arial" w:hAnsi="Arial" w:cs="Arial"/>
          <w:b/>
          <w:sz w:val="36"/>
          <w:szCs w:val="36"/>
        </w:rPr>
        <w:t>Framework Schedule 4 (Framework Management)</w:t>
      </w:r>
    </w:p>
    <w:p w:rsidR="007E4F0A" w:rsidRDefault="00B238FF">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7E4F0A" w:rsidRDefault="00B238FF">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7E4F0A">
        <w:tc>
          <w:tcPr>
            <w:tcW w:w="2928" w:type="dxa"/>
            <w:shd w:val="clear" w:color="auto" w:fill="auto"/>
          </w:tcPr>
          <w:p w:rsidR="007E4F0A" w:rsidRDefault="00B238F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7E4F0A" w:rsidRDefault="00B238FF">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7E4F0A">
        <w:tc>
          <w:tcPr>
            <w:tcW w:w="2928" w:type="dxa"/>
            <w:shd w:val="clear" w:color="auto" w:fill="auto"/>
          </w:tcPr>
          <w:p w:rsidR="007E4F0A" w:rsidRDefault="00B238FF">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7E4F0A" w:rsidRDefault="00B238FF">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w:t>
            </w:r>
          </w:p>
        </w:tc>
      </w:tr>
    </w:tbl>
    <w:p w:rsidR="007E4F0A" w:rsidRDefault="00B238FF">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7E4F0A" w:rsidRDefault="00B238FF">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7E4F0A" w:rsidRDefault="00B238FF">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tween the Parties following the Framework Start Date, where requested by CCS</w:t>
      </w:r>
      <w:r w:rsidR="006172CA">
        <w:rPr>
          <w:rFonts w:ascii="Arial" w:eastAsia="Arial" w:hAnsi="Arial" w:cs="Arial"/>
          <w:color w:val="000000"/>
          <w:sz w:val="24"/>
          <w:szCs w:val="24"/>
        </w:rPr>
        <w:t>,</w:t>
      </w:r>
      <w:bookmarkStart w:id="1" w:name="_GoBack"/>
      <w:bookmarkEnd w:id="1"/>
      <w:r>
        <w:rPr>
          <w:rFonts w:ascii="Arial" w:eastAsia="Arial" w:hAnsi="Arial" w:cs="Arial"/>
          <w:color w:val="000000"/>
          <w:sz w:val="24"/>
          <w:szCs w:val="24"/>
        </w:rPr>
        <w:t xml:space="preserve">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 and come into effect within two weeks from receipt by the Supplier of the draft Supplier Action P</w:t>
      </w:r>
      <w:r>
        <w:rPr>
          <w:rFonts w:ascii="Arial" w:eastAsia="Arial" w:hAnsi="Arial" w:cs="Arial"/>
          <w:color w:val="000000"/>
          <w:sz w:val="24"/>
          <w:szCs w:val="24"/>
        </w:rPr>
        <w:t xml:space="preserve">lan. </w:t>
      </w:r>
    </w:p>
    <w:p w:rsidR="007E4F0A" w:rsidRDefault="00B238FF">
      <w:pPr>
        <w:rPr>
          <w:rFonts w:ascii="Arial" w:eastAsia="Arial" w:hAnsi="Arial" w:cs="Arial"/>
          <w:sz w:val="24"/>
          <w:szCs w:val="24"/>
        </w:rPr>
      </w:pPr>
      <w:bookmarkStart w:id="2" w:name="_heading=h.30j0zll" w:colFirst="0" w:colLast="0"/>
      <w:bookmarkEnd w:id="2"/>
      <w:r>
        <w:br w:type="page"/>
      </w:r>
    </w:p>
    <w:p w:rsidR="007E4F0A" w:rsidRDefault="007E4F0A">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w:t>
      </w:r>
      <w:r>
        <w:rPr>
          <w:rFonts w:ascii="Arial" w:eastAsia="Arial" w:hAnsi="Arial" w:cs="Arial"/>
          <w:color w:val="000000"/>
          <w:sz w:val="24"/>
          <w:szCs w:val="24"/>
        </w:rPr>
        <w:t xml:space="preserv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w:t>
      </w:r>
      <w:r>
        <w:rPr>
          <w:rFonts w:ascii="Arial" w:eastAsia="Arial" w:hAnsi="Arial" w:cs="Arial"/>
          <w:color w:val="000000"/>
          <w:sz w:val="24"/>
          <w:szCs w:val="24"/>
        </w:rPr>
        <w:t>Supplier Action Plan as updated from time to time.</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7E4F0A" w:rsidRDefault="00B238FF">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7E4F0A" w:rsidRDefault="007E4F0A">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7E4F0A" w:rsidRDefault="00B238FF">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w:t>
      </w:r>
      <w:r>
        <w:rPr>
          <w:rFonts w:ascii="Arial" w:eastAsia="Arial" w:hAnsi="Arial" w:cs="Arial"/>
          <w:b/>
          <w:color w:val="000000"/>
          <w:sz w:val="24"/>
          <w:szCs w:val="24"/>
        </w:rPr>
        <w:t xml:space="preserve"> Performance will be measured</w:t>
      </w:r>
    </w:p>
    <w:p w:rsidR="007E4F0A" w:rsidRDefault="00B238FF">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r>
        <w:rPr>
          <w:rFonts w:ascii="Arial" w:eastAsia="Arial" w:hAnsi="Arial" w:cs="Arial"/>
          <w:color w:val="000000"/>
          <w:sz w:val="24"/>
          <w:szCs w:val="24"/>
        </w:rPr>
        <w:br/>
      </w:r>
      <w:r>
        <w:rPr>
          <w:rFonts w:ascii="Arial" w:eastAsia="Arial" w:hAnsi="Arial" w:cs="Arial"/>
          <w:color w:val="000000"/>
          <w:sz w:val="24"/>
          <w:szCs w:val="24"/>
        </w:rPr>
        <w:lastRenderedPageBreak/>
        <w:br/>
      </w:r>
    </w:p>
    <w:tbl>
      <w:tblPr>
        <w:tblStyle w:val="a2"/>
        <w:tblW w:w="7980" w:type="dxa"/>
        <w:tblBorders>
          <w:top w:val="nil"/>
          <w:left w:val="nil"/>
          <w:bottom w:val="nil"/>
          <w:right w:val="nil"/>
          <w:insideH w:val="nil"/>
          <w:insideV w:val="nil"/>
        </w:tblBorders>
        <w:tblLayout w:type="fixed"/>
        <w:tblLook w:val="0600" w:firstRow="0" w:lastRow="0" w:firstColumn="0" w:lastColumn="0" w:noHBand="1" w:noVBand="1"/>
      </w:tblPr>
      <w:tblGrid>
        <w:gridCol w:w="4050"/>
        <w:gridCol w:w="1605"/>
        <w:gridCol w:w="2325"/>
      </w:tblGrid>
      <w:tr w:rsidR="007E4F0A">
        <w:trPr>
          <w:trHeight w:val="650"/>
        </w:trPr>
        <w:tc>
          <w:tcPr>
            <w:tcW w:w="405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b/>
                <w:sz w:val="24"/>
                <w:szCs w:val="24"/>
              </w:rPr>
            </w:pPr>
            <w:r>
              <w:rPr>
                <w:rFonts w:ascii="Arial" w:eastAsia="Arial" w:hAnsi="Arial" w:cs="Arial"/>
                <w:b/>
                <w:sz w:val="24"/>
                <w:szCs w:val="24"/>
              </w:rPr>
              <w:lastRenderedPageBreak/>
              <w:t>Performance Indicator (PI)</w:t>
            </w:r>
          </w:p>
        </w:tc>
        <w:tc>
          <w:tcPr>
            <w:tcW w:w="160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b/>
                <w:sz w:val="24"/>
                <w:szCs w:val="24"/>
              </w:rPr>
            </w:pPr>
            <w:r>
              <w:rPr>
                <w:rFonts w:ascii="Arial" w:eastAsia="Arial" w:hAnsi="Arial" w:cs="Arial"/>
                <w:b/>
                <w:sz w:val="24"/>
                <w:szCs w:val="24"/>
              </w:rPr>
              <w:t>PI Target</w:t>
            </w:r>
          </w:p>
        </w:tc>
        <w:tc>
          <w:tcPr>
            <w:tcW w:w="232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b/>
                <w:sz w:val="24"/>
                <w:szCs w:val="24"/>
              </w:rPr>
            </w:pPr>
            <w:r>
              <w:rPr>
                <w:rFonts w:ascii="Arial" w:eastAsia="Arial" w:hAnsi="Arial" w:cs="Arial"/>
                <w:b/>
                <w:sz w:val="24"/>
                <w:szCs w:val="24"/>
              </w:rPr>
              <w:t>Measured by</w:t>
            </w:r>
          </w:p>
        </w:tc>
      </w:tr>
      <w:tr w:rsidR="007E4F0A">
        <w:trPr>
          <w:trHeight w:val="650"/>
        </w:trPr>
        <w:tc>
          <w:tcPr>
            <w:tcW w:w="7980"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b/>
                <w:sz w:val="24"/>
                <w:szCs w:val="24"/>
              </w:rPr>
            </w:pPr>
            <w:r>
              <w:rPr>
                <w:rFonts w:ascii="Arial" w:eastAsia="Arial" w:hAnsi="Arial" w:cs="Arial"/>
                <w:b/>
                <w:sz w:val="24"/>
                <w:szCs w:val="24"/>
              </w:rPr>
              <w:t>1 FRAMEWORK MANAGEMENT</w:t>
            </w:r>
          </w:p>
        </w:tc>
      </w:tr>
      <w:tr w:rsidR="007E4F0A">
        <w:trPr>
          <w:trHeight w:val="216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1.1  MI returns: all MI returns to be returned to CCS by the 5</w:t>
            </w:r>
            <w:r>
              <w:rPr>
                <w:rFonts w:ascii="Arial" w:eastAsia="Arial" w:hAnsi="Arial" w:cs="Arial"/>
                <w:sz w:val="24"/>
                <w:szCs w:val="24"/>
                <w:vertAlign w:val="superscript"/>
              </w:rPr>
              <w:t>th</w:t>
            </w:r>
            <w:r>
              <w:rPr>
                <w:rFonts w:ascii="Arial" w:eastAsia="Arial" w:hAnsi="Arial" w:cs="Arial"/>
                <w:sz w:val="24"/>
                <w:szCs w:val="24"/>
              </w:rPr>
              <w:t xml:space="preserve"> working day of each month</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 xml:space="preserve"> 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data warehouse system)</w:t>
            </w:r>
          </w:p>
        </w:tc>
      </w:tr>
      <w:tr w:rsidR="007E4F0A">
        <w:trPr>
          <w:trHeight w:val="216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1.2 All undisputed invoices to be paid within 30 calendar days of issue</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 xml:space="preserve"> 98%</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finance system)</w:t>
            </w:r>
          </w:p>
        </w:tc>
      </w:tr>
      <w:tr w:rsidR="007E4F0A">
        <w:trPr>
          <w:trHeight w:val="1400"/>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1.3 Supplier self-audit certificate to be issued to the Authorit</w:t>
            </w:r>
            <w:r>
              <w:rPr>
                <w:rFonts w:ascii="Arial" w:eastAsia="Arial" w:hAnsi="Arial" w:cs="Arial"/>
                <w:sz w:val="24"/>
                <w:szCs w:val="24"/>
              </w:rPr>
              <w:t>y in accordance with the Framework Agreement</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7E4F0A">
        <w:trPr>
          <w:trHeight w:val="1910"/>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1.4 Actions identified in an Audit Report to be delivered by the dates set out in the Audit Report</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by the Authority of the completion of the actions by the dates identified in the Audit Report</w:t>
            </w:r>
          </w:p>
        </w:tc>
      </w:tr>
      <w:tr w:rsidR="007E4F0A">
        <w:trPr>
          <w:trHeight w:val="114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1.5 Provision of one case study per quarter to the Authority</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the Authority</w:t>
            </w:r>
          </w:p>
        </w:tc>
      </w:tr>
      <w:tr w:rsidR="007E4F0A">
        <w:trPr>
          <w:trHeight w:val="114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1.6 Submission of quarterly Operational Security Report to the Authority</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the Authority</w:t>
            </w:r>
          </w:p>
        </w:tc>
      </w:tr>
      <w:tr w:rsidR="007E4F0A">
        <w:trPr>
          <w:trHeight w:val="114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lastRenderedPageBreak/>
              <w:t>1.7 Submission of Information Assurance Risks Report on an annual basis</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the Authority</w:t>
            </w:r>
          </w:p>
        </w:tc>
      </w:tr>
      <w:tr w:rsidR="007E4F0A">
        <w:trPr>
          <w:trHeight w:val="180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1.8 Advise CCS wi</w:t>
            </w:r>
            <w:r>
              <w:rPr>
                <w:rFonts w:ascii="Arial" w:eastAsia="Arial" w:hAnsi="Arial" w:cs="Arial"/>
                <w:sz w:val="24"/>
                <w:szCs w:val="24"/>
              </w:rPr>
              <w:t>thin 5 working days of a Call-Off contract being awarded pursuant to the Framework</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 xml:space="preserve"> </w:t>
            </w:r>
          </w:p>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the Authority</w:t>
            </w:r>
          </w:p>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 xml:space="preserve"> </w:t>
            </w:r>
          </w:p>
        </w:tc>
      </w:tr>
      <w:tr w:rsidR="007E4F0A">
        <w:trPr>
          <w:trHeight w:val="2165"/>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1.9 Submission of monthly consolidated Call-Off Contract Management Information reported by Contracting Authority (as detailed in Call-Off Contract Management Information of the Specification)</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Authority</w:t>
            </w:r>
          </w:p>
        </w:tc>
      </w:tr>
      <w:tr w:rsidR="007E4F0A">
        <w:trPr>
          <w:trHeight w:val="1400"/>
        </w:trPr>
        <w:tc>
          <w:tcPr>
            <w:tcW w:w="40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1.10 Submission of quarterly consolidated complaints report (listed by Contracting Authority) detailing complaint and resolution</w:t>
            </w:r>
          </w:p>
        </w:tc>
        <w:tc>
          <w:tcPr>
            <w:tcW w:w="16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ind w:left="140"/>
              <w:rPr>
                <w:rFonts w:ascii="Arial" w:eastAsia="Arial" w:hAnsi="Arial" w:cs="Arial"/>
                <w:sz w:val="24"/>
                <w:szCs w:val="24"/>
              </w:rPr>
            </w:pPr>
            <w:r>
              <w:rPr>
                <w:rFonts w:ascii="Arial" w:eastAsia="Arial" w:hAnsi="Arial" w:cs="Arial"/>
                <w:sz w:val="24"/>
                <w:szCs w:val="24"/>
              </w:rPr>
              <w:t>100%</w:t>
            </w:r>
          </w:p>
        </w:tc>
        <w:tc>
          <w:tcPr>
            <w:tcW w:w="23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4F0A" w:rsidRDefault="00B238FF">
            <w:pPr>
              <w:keepNext/>
              <w:tabs>
                <w:tab w:val="left" w:pos="1134"/>
              </w:tabs>
              <w:spacing w:before="80" w:after="80" w:line="240" w:lineRule="auto"/>
              <w:rPr>
                <w:rFonts w:ascii="Arial" w:eastAsia="Arial" w:hAnsi="Arial" w:cs="Arial"/>
                <w:sz w:val="24"/>
                <w:szCs w:val="24"/>
              </w:rPr>
            </w:pPr>
            <w:r>
              <w:rPr>
                <w:rFonts w:ascii="Arial" w:eastAsia="Arial" w:hAnsi="Arial" w:cs="Arial"/>
                <w:sz w:val="24"/>
                <w:szCs w:val="24"/>
              </w:rPr>
              <w:t>Confirmation of receipt by Authority</w:t>
            </w:r>
          </w:p>
        </w:tc>
      </w:tr>
      <w:tr w:rsidR="007E4F0A">
        <w:trPr>
          <w:trHeight w:val="975"/>
        </w:trPr>
        <w:tc>
          <w:tcPr>
            <w:tcW w:w="798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2. INFORMATION FOR DISCUSSION AT FRAMEWORK MANAGEMENT MEETINGS</w:t>
            </w:r>
          </w:p>
        </w:tc>
      </w:tr>
      <w:tr w:rsidR="007E4F0A">
        <w:trPr>
          <w:trHeight w:val="1400"/>
        </w:trPr>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2.1  Social Value</w:t>
            </w:r>
          </w:p>
        </w:tc>
        <w:tc>
          <w:tcPr>
            <w:tcW w:w="16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rPr>
                <w:rFonts w:ascii="Arial" w:eastAsia="Arial" w:hAnsi="Arial" w:cs="Arial"/>
                <w:sz w:val="24"/>
                <w:szCs w:val="24"/>
              </w:rPr>
            </w:pPr>
            <w:r>
              <w:rPr>
                <w:rFonts w:ascii="Arial" w:eastAsia="Arial" w:hAnsi="Arial" w:cs="Arial"/>
                <w:sz w:val="24"/>
                <w:szCs w:val="24"/>
              </w:rPr>
              <w:t>Once per Year</w:t>
            </w:r>
          </w:p>
        </w:tc>
        <w:tc>
          <w:tcPr>
            <w:tcW w:w="23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Delivery of a report detailing the Social Value that has been delivered through Call-Off Contracts under this Framework.</w:t>
            </w:r>
          </w:p>
        </w:tc>
      </w:tr>
      <w:tr w:rsidR="007E4F0A">
        <w:trPr>
          <w:trHeight w:val="1400"/>
        </w:trPr>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2.2 Suppliers' Value for Money (Savings)</w:t>
            </w:r>
          </w:p>
        </w:tc>
        <w:tc>
          <w:tcPr>
            <w:tcW w:w="16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rPr>
                <w:rFonts w:ascii="Arial" w:eastAsia="Arial" w:hAnsi="Arial" w:cs="Arial"/>
                <w:sz w:val="24"/>
                <w:szCs w:val="24"/>
              </w:rPr>
            </w:pPr>
            <w:r>
              <w:rPr>
                <w:rFonts w:ascii="Arial" w:eastAsia="Arial" w:hAnsi="Arial" w:cs="Arial"/>
                <w:sz w:val="24"/>
                <w:szCs w:val="24"/>
              </w:rPr>
              <w:t>N/A</w:t>
            </w:r>
          </w:p>
        </w:tc>
        <w:tc>
          <w:tcPr>
            <w:tcW w:w="23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Reduction (saving) on Suppliers standard (rate card) rates on every Call-Of</w:t>
            </w:r>
            <w:r>
              <w:rPr>
                <w:rFonts w:ascii="Arial" w:eastAsia="Arial" w:hAnsi="Arial" w:cs="Arial"/>
                <w:sz w:val="24"/>
                <w:szCs w:val="24"/>
              </w:rPr>
              <w:t>f contract procured within the reporting period</w:t>
            </w:r>
          </w:p>
        </w:tc>
      </w:tr>
      <w:tr w:rsidR="007E4F0A">
        <w:trPr>
          <w:trHeight w:val="1400"/>
        </w:trPr>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lastRenderedPageBreak/>
              <w:t>2.3   Provision and maintenance of Suppliers Prospectus.</w:t>
            </w:r>
          </w:p>
        </w:tc>
        <w:tc>
          <w:tcPr>
            <w:tcW w:w="16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rPr>
                <w:rFonts w:ascii="Arial" w:eastAsia="Arial" w:hAnsi="Arial" w:cs="Arial"/>
                <w:sz w:val="24"/>
                <w:szCs w:val="24"/>
              </w:rPr>
            </w:pPr>
            <w:r>
              <w:rPr>
                <w:rFonts w:ascii="Arial" w:eastAsia="Arial" w:hAnsi="Arial" w:cs="Arial"/>
                <w:sz w:val="24"/>
                <w:szCs w:val="24"/>
              </w:rPr>
              <w:t>N/A</w:t>
            </w:r>
          </w:p>
        </w:tc>
        <w:tc>
          <w:tcPr>
            <w:tcW w:w="23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7E4F0A" w:rsidRDefault="00B238FF">
            <w:pPr>
              <w:keepNext/>
              <w:tabs>
                <w:tab w:val="left" w:pos="1134"/>
              </w:tabs>
              <w:spacing w:before="240" w:after="240" w:line="240" w:lineRule="auto"/>
              <w:rPr>
                <w:rFonts w:ascii="Arial" w:eastAsia="Arial" w:hAnsi="Arial" w:cs="Arial"/>
                <w:sz w:val="24"/>
                <w:szCs w:val="24"/>
              </w:rPr>
            </w:pPr>
            <w:r>
              <w:rPr>
                <w:rFonts w:ascii="Arial" w:eastAsia="Arial" w:hAnsi="Arial" w:cs="Arial"/>
                <w:sz w:val="24"/>
                <w:szCs w:val="24"/>
              </w:rPr>
              <w:t>Has your Prospectus received adequate attention / maintenance / update within the reporting period in order to provide Buyers wishing to place a d</w:t>
            </w:r>
            <w:r>
              <w:rPr>
                <w:rFonts w:ascii="Arial" w:eastAsia="Arial" w:hAnsi="Arial" w:cs="Arial"/>
                <w:sz w:val="24"/>
                <w:szCs w:val="24"/>
              </w:rPr>
              <w:t xml:space="preserve">irect award or a further competition with an up to date and "informed" view. </w:t>
            </w:r>
          </w:p>
        </w:tc>
      </w:tr>
    </w:tbl>
    <w:p w:rsidR="007E4F0A" w:rsidRDefault="007E4F0A">
      <w:pPr>
        <w:tabs>
          <w:tab w:val="left" w:pos="1134"/>
        </w:tabs>
        <w:spacing w:before="120" w:after="120" w:line="240" w:lineRule="auto"/>
        <w:rPr>
          <w:rFonts w:ascii="Arial" w:eastAsia="Arial" w:hAnsi="Arial" w:cs="Arial"/>
          <w:b/>
          <w:sz w:val="24"/>
          <w:szCs w:val="24"/>
        </w:rPr>
      </w:pP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7E4F0A" w:rsidRDefault="00B238FF">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7E4F0A" w:rsidRDefault="00B238FF">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7E4F0A" w:rsidRDefault="00B238FF">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Supplier shall cooperate in good faith with CCS to develop efficiency tracking performance measures for this Contract. This shall include the following (but this list i</w:t>
      </w:r>
      <w:r>
        <w:rPr>
          <w:rFonts w:ascii="Arial" w:eastAsia="Arial" w:hAnsi="Arial" w:cs="Arial"/>
          <w:color w:val="000000"/>
          <w:sz w:val="24"/>
          <w:szCs w:val="24"/>
        </w:rPr>
        <w:t xml:space="preserve">s not exhaustive and may be developed during the Framework Contract Period): </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w:t>
      </w:r>
      <w:r>
        <w:rPr>
          <w:rFonts w:ascii="Arial" w:eastAsia="Arial" w:hAnsi="Arial" w:cs="Arial"/>
          <w:color w:val="000000"/>
          <w:sz w:val="24"/>
          <w:szCs w:val="24"/>
        </w:rPr>
        <w:t>ms and shared service centres).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ongoing progress </w:t>
      </w:r>
      <w:r>
        <w:rPr>
          <w:rFonts w:ascii="Arial" w:eastAsia="Arial" w:hAnsi="Arial" w:cs="Arial"/>
          <w:color w:val="000000"/>
          <w:sz w:val="24"/>
          <w:szCs w:val="24"/>
        </w:rPr>
        <w:t>and development of the efficiency tracking performance measures shall be reported through framework management activities as outlined in this Schedule.</w:t>
      </w:r>
    </w:p>
    <w:p w:rsidR="007E4F0A" w:rsidRDefault="00B238FF">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 xml:space="preserve">What to do if CCS and the Supplier can’t agree about the performance </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w:t>
      </w:r>
      <w:r>
        <w:rPr>
          <w:rFonts w:ascii="Arial" w:eastAsia="Arial" w:hAnsi="Arial" w:cs="Arial"/>
          <w:color w:val="000000"/>
          <w:sz w:val="24"/>
          <w:szCs w:val="24"/>
        </w:rPr>
        <w:t>lier are unable to agree the performance score for any PI during a Supplier Review Meeting, the disputed score shall be recorded and the matter shall be referred to CCS Authorised Representative and the Supplier Authorised Representative in order to determ</w:t>
      </w:r>
      <w:r>
        <w:rPr>
          <w:rFonts w:ascii="Arial" w:eastAsia="Arial" w:hAnsi="Arial" w:cs="Arial"/>
          <w:color w:val="000000"/>
          <w:sz w:val="24"/>
          <w:szCs w:val="24"/>
        </w:rPr>
        <w:t>ine the best course of action to resolve the matter (which may involve organising an ad-hoc meeting to discuss the performance issue specifically).</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w:t>
      </w:r>
      <w:r>
        <w:rPr>
          <w:rFonts w:ascii="Arial" w:eastAsia="Arial" w:hAnsi="Arial" w:cs="Arial"/>
          <w:color w:val="000000"/>
          <w:sz w:val="24"/>
          <w:szCs w:val="24"/>
        </w:rPr>
        <w:t>tion within a reasonable period of time, the matter shall be referred to the Dispute Resolution Procedure.</w:t>
      </w:r>
    </w:p>
    <w:p w:rsidR="007E4F0A" w:rsidRDefault="00B238FF">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7E4F0A" w:rsidRDefault="00B238F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7E4F0A" w:rsidRDefault="00B238F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w:t>
        </w:r>
        <w:r>
          <w:rPr>
            <w:rFonts w:ascii="Arial" w:eastAsia="Arial" w:hAnsi="Arial" w:cs="Arial"/>
            <w:color w:val="0000FF"/>
            <w:sz w:val="24"/>
            <w:szCs w:val="24"/>
            <w:u w:val="single"/>
          </w:rPr>
          <w:t>lier-logo-and-brand-guidelines</w:t>
        </w:r>
      </w:hyperlink>
      <w:r>
        <w:rPr>
          <w:rFonts w:ascii="Arial" w:eastAsia="Arial" w:hAnsi="Arial" w:cs="Arial"/>
          <w:color w:val="000000"/>
          <w:sz w:val="24"/>
          <w:szCs w:val="24"/>
        </w:rPr>
        <w:t>.</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w:t>
      </w:r>
      <w:r>
        <w:rPr>
          <w:rFonts w:ascii="Arial" w:eastAsia="Arial" w:hAnsi="Arial" w:cs="Arial"/>
          <w:color w:val="000000"/>
          <w:sz w:val="24"/>
          <w:szCs w:val="24"/>
        </w:rPr>
        <w:t xml:space="preserve"> Contract and ensure that such information is up to date at all times.</w:t>
      </w:r>
    </w:p>
    <w:p w:rsidR="007E4F0A" w:rsidRDefault="00B238FF">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w:t>
      </w:r>
      <w:r>
        <w:rPr>
          <w:rFonts w:ascii="Arial" w:eastAsia="Arial" w:hAnsi="Arial" w:cs="Arial"/>
          <w:color w:val="000000"/>
          <w:sz w:val="24"/>
          <w:szCs w:val="24"/>
        </w:rPr>
        <w:t>e Supplier will ensure that such content is regularly maintained and updated.  In the event that the Supplier fails to maintain or update the content, CCS or the relevant Buyer may give the Supplier notice to rectify the failure and if the failure is not r</w:t>
      </w:r>
      <w:r>
        <w:rPr>
          <w:rFonts w:ascii="Arial" w:eastAsia="Arial" w:hAnsi="Arial" w:cs="Arial"/>
          <w:color w:val="000000"/>
          <w:sz w:val="24"/>
          <w:szCs w:val="24"/>
        </w:rPr>
        <w:t>ectified to its reasonable satisfaction within one (1) Month of receipt of such notice, shall have the right to remove such content itself or require that the Supplier immediately arranges the removal of such content.</w:t>
      </w:r>
    </w:p>
    <w:p w:rsidR="007E4F0A" w:rsidRDefault="00B238FF">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Where CCS might oversee parts of the Call-Off Contracts</w:t>
      </w:r>
    </w:p>
    <w:p w:rsidR="007E4F0A" w:rsidRDefault="00B238FF">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w:t>
      </w:r>
      <w:r>
        <w:rPr>
          <w:rFonts w:ascii="Arial" w:eastAsia="Arial" w:hAnsi="Arial" w:cs="Arial"/>
          <w:color w:val="000000"/>
          <w:sz w:val="24"/>
          <w:szCs w:val="24"/>
        </w:rPr>
        <w:t>ntract:</w:t>
      </w:r>
    </w:p>
    <w:p w:rsidR="007E4F0A" w:rsidRDefault="00B238FF">
      <w:pPr>
        <w:numPr>
          <w:ilvl w:val="2"/>
          <w:numId w:val="1"/>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3 (Continuous Improvement);</w:t>
      </w:r>
    </w:p>
    <w:p w:rsidR="007E4F0A" w:rsidRDefault="00B238FF">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 (Security); and</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16 (Benchmarking)</w:t>
      </w:r>
    </w:p>
    <w:p w:rsidR="007E4F0A" w:rsidRDefault="00B238FF">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7E4F0A" w:rsidRDefault="00B238F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7E4F0A" w:rsidRDefault="00B238FF">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allowing CCS to act as agent for the Buyers under the Supported Schedules </w:t>
      </w:r>
      <w:r>
        <w:rPr>
          <w:rFonts w:ascii="Arial" w:eastAsia="Arial" w:hAnsi="Arial" w:cs="Arial"/>
          <w:color w:val="000000"/>
          <w:sz w:val="24"/>
          <w:szCs w:val="24"/>
        </w:rPr>
        <w:t>for such matters as CCS may notify to the Supplier from time to time; and</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7E4F0A" w:rsidRDefault="00B238FF">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7E4F0A" w:rsidRDefault="00B238FF">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7E4F0A" w:rsidRDefault="007E4F0A">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p>
    <w:p w:rsidR="007E4F0A" w:rsidRDefault="00B238FF">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7E4F0A" w:rsidRDefault="00B238FF">
      <w:pPr>
        <w:numPr>
          <w:ilvl w:val="2"/>
          <w:numId w:val="1"/>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rsidR="007E4F0A" w:rsidRDefault="00B238FF">
      <w:pPr>
        <w:rPr>
          <w:rFonts w:ascii="Arial" w:eastAsia="Arial" w:hAnsi="Arial" w:cs="Arial"/>
          <w:sz w:val="24"/>
          <w:szCs w:val="24"/>
        </w:rPr>
      </w:pPr>
      <w:r>
        <w:br w:type="page"/>
      </w:r>
    </w:p>
    <w:p w:rsidR="007E4F0A" w:rsidRDefault="007E4F0A">
      <w:pPr>
        <w:pBdr>
          <w:top w:val="nil"/>
          <w:left w:val="nil"/>
          <w:bottom w:val="nil"/>
          <w:right w:val="nil"/>
          <w:between w:val="nil"/>
        </w:pBdr>
        <w:tabs>
          <w:tab w:val="left" w:pos="1985"/>
          <w:tab w:val="left" w:pos="1985"/>
          <w:tab w:val="left" w:pos="2552"/>
        </w:tabs>
        <w:spacing w:before="120" w:after="120" w:line="240" w:lineRule="auto"/>
        <w:ind w:left="2847" w:hanging="720"/>
        <w:rPr>
          <w:rFonts w:ascii="Arial" w:eastAsia="Arial" w:hAnsi="Arial" w:cs="Arial"/>
          <w:color w:val="000000"/>
          <w:sz w:val="24"/>
          <w:szCs w:val="24"/>
        </w:rPr>
      </w:pP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w:t>
      </w:r>
      <w:r>
        <w:rPr>
          <w:rFonts w:ascii="Arial" w:eastAsia="Arial" w:hAnsi="Arial" w:cs="Arial"/>
          <w:color w:val="000000"/>
          <w:sz w:val="24"/>
          <w:szCs w:val="24"/>
        </w:rPr>
        <w:t>urity) - the Supplier shall:</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7E4F0A" w:rsidRDefault="00B238FF">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w:t>
      </w:r>
      <w:r>
        <w:rPr>
          <w:rFonts w:ascii="Arial" w:eastAsia="Arial" w:hAnsi="Arial" w:cs="Arial"/>
          <w:color w:val="000000"/>
          <w:sz w:val="24"/>
          <w:szCs w:val="24"/>
        </w:rPr>
        <w:t>er:</w:t>
      </w:r>
    </w:p>
    <w:p w:rsidR="007E4F0A" w:rsidRDefault="00B238FF">
      <w:pPr>
        <w:numPr>
          <w:ilvl w:val="3"/>
          <w:numId w:val="1"/>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Contract and the Supplier recognises that CCS may want to co-ordinate how benchmarking is conducted across multiple Call Off Contracts;</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appointe</w:t>
      </w:r>
      <w:r>
        <w:rPr>
          <w:rFonts w:ascii="Arial" w:eastAsia="Arial" w:hAnsi="Arial" w:cs="Arial"/>
          <w:color w:val="000000"/>
          <w:sz w:val="24"/>
          <w:szCs w:val="24"/>
        </w:rPr>
        <w:t>d as agent by Buyers in respect of benchmarking, co-operate with CCS in order to operate the benchmarking as efficiently as possible;</w:t>
      </w:r>
    </w:p>
    <w:p w:rsidR="007E4F0A" w:rsidRDefault="00B238FF">
      <w:pPr>
        <w:numPr>
          <w:ilvl w:val="3"/>
          <w:numId w:val="1"/>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sectPr w:rsidR="007E4F0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rsidR="007E4F0A" w:rsidRDefault="007E4F0A">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7E4F0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8FF" w:rsidRDefault="00B238FF">
      <w:pPr>
        <w:spacing w:after="0" w:line="240" w:lineRule="auto"/>
      </w:pPr>
      <w:r>
        <w:separator/>
      </w:r>
    </w:p>
  </w:endnote>
  <w:endnote w:type="continuationSeparator" w:id="0">
    <w:p w:rsidR="00B238FF" w:rsidRDefault="00B23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7E4F0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B238FF">
    <w:pPr>
      <w:tabs>
        <w:tab w:val="center" w:pos="4513"/>
        <w:tab w:val="right" w:pos="9026"/>
      </w:tabs>
      <w:spacing w:after="0"/>
      <w:rPr>
        <w:rFonts w:ascii="Arial" w:eastAsia="Arial" w:hAnsi="Arial" w:cs="Arial"/>
        <w:sz w:val="20"/>
        <w:szCs w:val="20"/>
      </w:rPr>
    </w:pPr>
    <w:bookmarkStart w:id="10" w:name="_heading=h.2s8eyo1" w:colFirst="0" w:colLast="0"/>
    <w:bookmarkEnd w:id="10"/>
    <w:r>
      <w:rPr>
        <w:rFonts w:ascii="Arial" w:eastAsia="Arial" w:hAnsi="Arial" w:cs="Arial"/>
        <w:sz w:val="20"/>
        <w:szCs w:val="20"/>
      </w:rPr>
      <w:t>Framework Ref: RM6255 Voucher Schemes</w:t>
    </w:r>
    <w:r>
      <w:rPr>
        <w:rFonts w:ascii="Arial" w:eastAsia="Arial" w:hAnsi="Arial" w:cs="Arial"/>
        <w:sz w:val="20"/>
        <w:szCs w:val="20"/>
      </w:rPr>
      <w:tab/>
      <w:t xml:space="preserve">                                           </w:t>
    </w:r>
  </w:p>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172CA">
      <w:rPr>
        <w:rFonts w:ascii="Arial" w:eastAsia="Arial" w:hAnsi="Arial" w:cs="Arial"/>
        <w:color w:val="000000"/>
        <w:sz w:val="20"/>
        <w:szCs w:val="20"/>
      </w:rPr>
      <w:fldChar w:fldCharType="separate"/>
    </w:r>
    <w:r w:rsidR="006172CA">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7E4F0A" w:rsidRDefault="00B238FF">
    <w:pPr>
      <w:spacing w:after="0" w:line="240" w:lineRule="auto"/>
      <w:jc w:val="both"/>
    </w:pP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B238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r>
      <w:rPr>
        <w:rFonts w:ascii="Arial" w:eastAsia="Arial" w:hAnsi="Arial" w:cs="Arial"/>
        <w:sz w:val="20"/>
        <w:szCs w:val="20"/>
      </w:rPr>
      <w:t xml:space="preserve">                                           </w:t>
    </w:r>
  </w:p>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7E4F0A" w:rsidRDefault="00B238FF">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8FF" w:rsidRDefault="00B238FF">
      <w:pPr>
        <w:spacing w:after="0" w:line="240" w:lineRule="auto"/>
      </w:pPr>
      <w:r>
        <w:separator/>
      </w:r>
    </w:p>
  </w:footnote>
  <w:footnote w:type="continuationSeparator" w:id="0">
    <w:p w:rsidR="00B238FF" w:rsidRDefault="00B238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7E4F0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7E4F0A" w:rsidRDefault="00B238F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876858"/>
    <w:multiLevelType w:val="multilevel"/>
    <w:tmpl w:val="9BF6D57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98531C"/>
    <w:multiLevelType w:val="multilevel"/>
    <w:tmpl w:val="4E5A322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F0A"/>
    <w:rsid w:val="006172CA"/>
    <w:rsid w:val="007E4F0A"/>
    <w:rsid w:val="00B23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12C0"/>
  <w15:docId w15:val="{3432DA6F-624A-463D-A8C0-36FD2A12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9sjXCvUE45dzYOrLJEeJwXoWOQ==">AMUW2mXl4eupRlMZrt//4XynHTBQpNNMNhQDxRLnKG2U5o9EI5n/uWLMN4e4iCKhU8OxKrC0hevRdPfblws3fDiyhfTSUlBjN8TpZwBpBdepBmjDNzrUifUNfJ2Gfnv6Cm6Nc+nSZiiNUPxZwlm3OpfXoRlKyn1JFQZ7OJjPYq2yns8GWOrI3aIMD/iu1GCKW7PdBgenrBSYThA1aKSSncixOHTMev9vRX7j1jO1tRqUS/IQFMcqAEwlwF7TL0fUnsXBsBHzN7wB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2146</Words>
  <Characters>12237</Characters>
  <Application>Microsoft Office Word</Application>
  <DocSecurity>0</DocSecurity>
  <Lines>101</Lines>
  <Paragraphs>28</Paragraphs>
  <ScaleCrop>false</ScaleCrop>
  <Company>Cabinet Office</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2020-10-06T15:38:00Z</dcterms:created>
  <dcterms:modified xsi:type="dcterms:W3CDTF">2021-03-04T11:41:00Z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